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妇女儿童活动中心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妇女儿童活动中心</w:t>
      </w:r>
      <w:r>
        <w:rPr>
          <w:rFonts w:hint="eastAsia" w:ascii="仿宋_GB2312" w:hAnsi="仿宋"/>
          <w:szCs w:val="32"/>
        </w:rPr>
        <w:t>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%，决算数小于预算数的主要原因是……。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妇女儿童活动中心</w:t>
      </w:r>
      <w:r>
        <w:rPr>
          <w:rFonts w:hint="eastAsia" w:ascii="仿宋_GB2312" w:hAnsi="仿宋"/>
          <w:szCs w:val="32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numPr>
          <w:ilvl w:val="0"/>
          <w:numId w:val="1"/>
        </w:numPr>
        <w:ind w:firstLine="628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。经费使用严格相关规定执行。</w:t>
      </w:r>
    </w:p>
    <w:p>
      <w:pPr>
        <w:numPr>
          <w:ilvl w:val="0"/>
          <w:numId w:val="1"/>
        </w:num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与2020年度预算相比</w:t>
      </w:r>
      <w:bookmarkStart w:id="0" w:name="_GoBack"/>
      <w:bookmarkEnd w:id="0"/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，</w:t>
      </w:r>
      <w:r>
        <w:rPr>
          <w:rFonts w:hint="eastAsia" w:ascii="仿宋_GB2312" w:hAnsi="仿宋" w:eastAsia="楷体_GB2312"/>
          <w:szCs w:val="32"/>
          <w:lang w:eastAsia="zh-CN"/>
        </w:rPr>
        <w:t>没有安排</w:t>
      </w:r>
      <w:r>
        <w:rPr>
          <w:rFonts w:hint="eastAsia" w:ascii="仿宋_GB2312" w:hAnsi="仿宋"/>
          <w:szCs w:val="32"/>
        </w:rPr>
        <w:t>公务用车运行维护费。截至20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妇女儿童活动中心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ascii="仿宋_GB2312" w:hAnsi="仿宋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0BB388"/>
    <w:multiLevelType w:val="singleLevel"/>
    <w:tmpl w:val="C50BB3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617D5B7B"/>
    <w:rsid w:val="67F95008"/>
    <w:rsid w:val="702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1</TotalTime>
  <ScaleCrop>false</ScaleCrop>
  <LinksUpToDate>false</LinksUpToDate>
  <CharactersWithSpaces>1191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2021-07-22T01:45:17Z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0F024D7F93ED447180698A7C9A602D6D</vt:lpwstr>
  </property>
</Properties>
</file>